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6"/>
        <w:spacing w:line="276"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DECLARAÇÃO NEGATIVA DE IMPEDIMENTOS DE LICITAR COM A EBSERH</w:t>
      </w:r>
    </w:p>
    <w:p w:rsidR="00000000" w:rsidDel="00000000" w:rsidP="00000000" w:rsidRDefault="00000000" w:rsidRPr="00000000" w14:paraId="00000002">
      <w:pPr>
        <w:jc w:val="center"/>
        <w:rPr>
          <w:rFonts w:ascii="Calibri" w:cs="Calibri" w:eastAsia="Calibri" w:hAnsi="Calibri"/>
          <w:color w:val="ff0000"/>
          <w:sz w:val="22"/>
          <w:szCs w:val="22"/>
        </w:rPr>
      </w:pPr>
      <w:r w:rsidDel="00000000" w:rsidR="00000000" w:rsidRPr="00000000">
        <w:rPr>
          <w:rFonts w:ascii="Calibri" w:cs="Calibri" w:eastAsia="Calibri" w:hAnsi="Calibri"/>
          <w:color w:val="ff0000"/>
          <w:sz w:val="22"/>
          <w:szCs w:val="22"/>
          <w:rtl w:val="0"/>
        </w:rPr>
        <w:t xml:space="preserve">(Atenção! Este anexo é um modelo e deve ser feito em papel timbrado do licitante)</w:t>
      </w:r>
    </w:p>
    <w:p w:rsidR="00000000" w:rsidDel="00000000" w:rsidP="00000000" w:rsidRDefault="00000000" w:rsidRPr="00000000" w14:paraId="00000003">
      <w:pPr>
        <w:jc w:val="center"/>
        <w:rPr>
          <w:rFonts w:ascii="Calibri" w:cs="Calibri" w:eastAsia="Calibri" w:hAnsi="Calibri"/>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360" w:lineRule="auto"/>
        <w:ind w:firstLine="56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 empresa </w:t>
      </w:r>
      <w:r w:rsidDel="00000000" w:rsidR="00000000" w:rsidRPr="00000000">
        <w:rPr>
          <w:rFonts w:ascii="Calibri" w:cs="Calibri" w:eastAsia="Calibri" w:hAnsi="Calibri"/>
          <w:color w:val="ff0000"/>
          <w:sz w:val="22"/>
          <w:szCs w:val="22"/>
          <w:rtl w:val="0"/>
        </w:rPr>
        <w:t xml:space="preserve">RAZÃO SOCIAL</w:t>
      </w:r>
      <w:r w:rsidDel="00000000" w:rsidR="00000000" w:rsidRPr="00000000">
        <w:rPr>
          <w:rFonts w:ascii="Calibri" w:cs="Calibri" w:eastAsia="Calibri" w:hAnsi="Calibri"/>
          <w:sz w:val="22"/>
          <w:szCs w:val="22"/>
          <w:rtl w:val="0"/>
        </w:rPr>
        <w:t xml:space="preserve">, inscrita no CNPJ sob o nº </w:t>
      </w:r>
      <w:r w:rsidDel="00000000" w:rsidR="00000000" w:rsidRPr="00000000">
        <w:rPr>
          <w:rFonts w:ascii="Calibri" w:cs="Calibri" w:eastAsia="Calibri" w:hAnsi="Calibri"/>
          <w:color w:val="ff0000"/>
          <w:sz w:val="22"/>
          <w:szCs w:val="22"/>
          <w:rtl w:val="0"/>
        </w:rPr>
        <w:t xml:space="preserve">XX.XXX.XXX/XXXX-XX</w:t>
      </w:r>
      <w:r w:rsidDel="00000000" w:rsidR="00000000" w:rsidRPr="00000000">
        <w:rPr>
          <w:rFonts w:ascii="Calibri" w:cs="Calibri" w:eastAsia="Calibri" w:hAnsi="Calibri"/>
          <w:sz w:val="22"/>
          <w:szCs w:val="22"/>
          <w:rtl w:val="0"/>
        </w:rPr>
        <w:t xml:space="preserve">, sediada no endereço </w:t>
      </w:r>
      <w:r w:rsidDel="00000000" w:rsidR="00000000" w:rsidRPr="00000000">
        <w:rPr>
          <w:rFonts w:ascii="Calibri" w:cs="Calibri" w:eastAsia="Calibri" w:hAnsi="Calibri"/>
          <w:color w:val="ff0000"/>
          <w:sz w:val="22"/>
          <w:szCs w:val="22"/>
          <w:rtl w:val="0"/>
        </w:rPr>
        <w:t xml:space="preserve">ENDEREÇO COMPLETO</w:t>
      </w:r>
      <w:r w:rsidDel="00000000" w:rsidR="00000000" w:rsidRPr="00000000">
        <w:rPr>
          <w:rFonts w:ascii="Calibri" w:cs="Calibri" w:eastAsia="Calibri" w:hAnsi="Calibri"/>
          <w:sz w:val="22"/>
          <w:szCs w:val="22"/>
          <w:rtl w:val="0"/>
        </w:rPr>
        <w:t xml:space="preserve">, através de seu representante legal, o(a) Sr(a) </w:t>
      </w:r>
      <w:r w:rsidDel="00000000" w:rsidR="00000000" w:rsidRPr="00000000">
        <w:rPr>
          <w:rFonts w:ascii="Calibri" w:cs="Calibri" w:eastAsia="Calibri" w:hAnsi="Calibri"/>
          <w:color w:val="ff0000"/>
          <w:sz w:val="22"/>
          <w:szCs w:val="22"/>
          <w:rtl w:val="0"/>
        </w:rPr>
        <w:t xml:space="preserve">NOME COMPLETO</w:t>
      </w:r>
      <w:r w:rsidDel="00000000" w:rsidR="00000000" w:rsidRPr="00000000">
        <w:rPr>
          <w:rFonts w:ascii="Calibri" w:cs="Calibri" w:eastAsia="Calibri" w:hAnsi="Calibri"/>
          <w:sz w:val="22"/>
          <w:szCs w:val="22"/>
          <w:rtl w:val="0"/>
        </w:rPr>
        <w:t xml:space="preserve">, portador da cédula de identidade de RG nº </w:t>
      </w:r>
      <w:r w:rsidDel="00000000" w:rsidR="00000000" w:rsidRPr="00000000">
        <w:rPr>
          <w:rFonts w:ascii="Calibri" w:cs="Calibri" w:eastAsia="Calibri" w:hAnsi="Calibri"/>
          <w:color w:val="ff0000"/>
          <w:sz w:val="22"/>
          <w:szCs w:val="22"/>
          <w:rtl w:val="0"/>
        </w:rPr>
        <w:t xml:space="preserve">XXXXXX</w:t>
      </w:r>
      <w:r w:rsidDel="00000000" w:rsidR="00000000" w:rsidRPr="00000000">
        <w:rPr>
          <w:rFonts w:ascii="Calibri" w:cs="Calibri" w:eastAsia="Calibri" w:hAnsi="Calibri"/>
          <w:sz w:val="22"/>
          <w:szCs w:val="22"/>
          <w:rtl w:val="0"/>
        </w:rPr>
        <w:t xml:space="preserve">, inscrito no CPF sob o nº </w:t>
      </w:r>
      <w:r w:rsidDel="00000000" w:rsidR="00000000" w:rsidRPr="00000000">
        <w:rPr>
          <w:rFonts w:ascii="Calibri" w:cs="Calibri" w:eastAsia="Calibri" w:hAnsi="Calibri"/>
          <w:color w:val="ff0000"/>
          <w:sz w:val="22"/>
          <w:szCs w:val="22"/>
          <w:rtl w:val="0"/>
        </w:rPr>
        <w:t xml:space="preserve">XXX.XXX.XXX-XX</w:t>
      </w:r>
      <w:r w:rsidDel="00000000" w:rsidR="00000000" w:rsidRPr="00000000">
        <w:rPr>
          <w:rFonts w:ascii="Calibri" w:cs="Calibri" w:eastAsia="Calibri" w:hAnsi="Calibri"/>
          <w:sz w:val="22"/>
          <w:szCs w:val="22"/>
          <w:rtl w:val="0"/>
        </w:rPr>
        <w:t xml:space="preserve">, DECLARA, sob as penas da lei, que inexistem impedimentos para licitar e contratar com a Empresa Brasileira de Serviços Hospitalares - EBSERH, não se enquadrando nas vedações previstas no </w:t>
      </w:r>
      <w:r w:rsidDel="00000000" w:rsidR="00000000" w:rsidRPr="00000000">
        <w:rPr>
          <w:rFonts w:ascii="Calibri" w:cs="Calibri" w:eastAsia="Calibri" w:hAnsi="Calibri"/>
          <w:b w:val="1"/>
          <w:bCs w:val="1"/>
          <w:sz w:val="22"/>
          <w:szCs w:val="22"/>
          <w:rtl w:val="0"/>
        </w:rPr>
        <w:t xml:space="preserve">art. 69 do Regulamento de Licitações e Contratos da Ebserh 2.0</w:t>
      </w:r>
      <w:r w:rsidDel="00000000" w:rsidR="00000000" w:rsidRPr="00000000">
        <w:rPr>
          <w:rFonts w:ascii="Calibri" w:cs="Calibri" w:eastAsia="Calibri" w:hAnsi="Calibri"/>
          <w:sz w:val="22"/>
          <w:szCs w:val="22"/>
          <w:rtl w:val="0"/>
        </w:rPr>
        <w:t xml:space="preserve">, no </w:t>
      </w:r>
      <w:r w:rsidDel="00000000" w:rsidR="00000000" w:rsidRPr="00000000">
        <w:rPr>
          <w:rFonts w:ascii="Calibri" w:cs="Calibri" w:eastAsia="Calibri" w:hAnsi="Calibri"/>
          <w:b w:val="1"/>
          <w:bCs w:val="1"/>
          <w:sz w:val="22"/>
          <w:szCs w:val="22"/>
          <w:rtl w:val="0"/>
        </w:rPr>
        <w:t xml:space="preserve">art. 18, XI, da Lei n.º 15.080/2024</w:t>
      </w:r>
      <w:r w:rsidDel="00000000" w:rsidR="00000000" w:rsidRPr="00000000">
        <w:rPr>
          <w:rFonts w:ascii="Calibri" w:cs="Calibri" w:eastAsia="Calibri" w:hAnsi="Calibri"/>
          <w:sz w:val="22"/>
          <w:szCs w:val="22"/>
          <w:rtl w:val="0"/>
        </w:rPr>
        <w:t xml:space="preserve">, bem como no </w:t>
      </w:r>
      <w:r w:rsidDel="00000000" w:rsidR="00000000" w:rsidRPr="00000000">
        <w:rPr>
          <w:rFonts w:ascii="Calibri" w:cs="Calibri" w:eastAsia="Calibri" w:hAnsi="Calibri"/>
          <w:b w:val="1"/>
          <w:bCs w:val="1"/>
          <w:sz w:val="22"/>
          <w:szCs w:val="22"/>
          <w:rtl w:val="0"/>
        </w:rPr>
        <w:t xml:space="preserve">art. 6°-A da Lei n.º 10.522/2024</w:t>
      </w:r>
      <w:r w:rsidDel="00000000" w:rsidR="00000000" w:rsidRPr="00000000">
        <w:rPr>
          <w:rFonts w:ascii="Calibri" w:cs="Calibri" w:eastAsia="Calibri" w:hAnsi="Calibri"/>
          <w:sz w:val="22"/>
          <w:szCs w:val="22"/>
          <w:rtl w:val="0"/>
        </w:rPr>
        <w:t xml:space="preserve">, a saber:</w:t>
      </w:r>
    </w:p>
    <w:p w:rsidR="00000000" w:rsidDel="00000000" w:rsidP="00000000" w:rsidRDefault="00000000" w:rsidRPr="00000000" w14:paraId="00000006">
      <w:pPr>
        <w:spacing w:line="360" w:lineRule="auto"/>
        <w:ind w:firstLine="567"/>
        <w:jc w:val="both"/>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07">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r>
      <w:r w:rsidDel="00000000" w:rsidR="00000000" w:rsidRPr="00000000">
        <w:rPr>
          <w:rFonts w:ascii="Calibri" w:cs="Calibri" w:eastAsia="Calibri" w:hAnsi="Calibri"/>
          <w:b w:val="1"/>
          <w:bCs w:val="1"/>
          <w:i w:val="1"/>
          <w:iCs w:val="1"/>
          <w:sz w:val="22"/>
          <w:szCs w:val="22"/>
          <w:rtl w:val="0"/>
        </w:rPr>
        <w:t xml:space="preserve">Art. 69</w:t>
      </w:r>
      <w:r w:rsidDel="00000000" w:rsidR="00000000" w:rsidRPr="00000000">
        <w:rPr>
          <w:rFonts w:ascii="Calibri" w:cs="Calibri" w:eastAsia="Calibri" w:hAnsi="Calibri"/>
          <w:i w:val="1"/>
          <w:iCs w:val="1"/>
          <w:sz w:val="22"/>
          <w:szCs w:val="22"/>
          <w:rtl w:val="0"/>
        </w:rPr>
        <w:t xml:space="preserve">. Estará impedida de participar de licitações e de ser contratada pela Ebserh a empresa: </w:t>
      </w:r>
    </w:p>
    <w:p w:rsidR="00000000" w:rsidDel="00000000" w:rsidP="00000000" w:rsidRDefault="00000000" w:rsidRPr="00000000" w14:paraId="00000008">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 - suspensa no âmbito da Rede Ebserh; </w:t>
      </w:r>
    </w:p>
    <w:p w:rsidR="00000000" w:rsidDel="00000000" w:rsidP="00000000" w:rsidRDefault="00000000" w:rsidRPr="00000000" w14:paraId="00000009">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II - declarada inidônea pela União, por Estado ou pelo Distrito Federal, enquanto perdurarem os efeitos da sanção; </w:t>
      </w:r>
    </w:p>
    <w:p w:rsidR="00000000" w:rsidDel="00000000" w:rsidP="00000000" w:rsidRDefault="00000000" w:rsidRPr="00000000" w14:paraId="0000000A">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III - impedida de licitar e de contratar com a União; </w:t>
      </w:r>
    </w:p>
    <w:p w:rsidR="00000000" w:rsidDel="00000000" w:rsidP="00000000" w:rsidRDefault="00000000" w:rsidRPr="00000000" w14:paraId="0000000B">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IV - constituída por sócio de empresa que estiver suspensa, impedida ou declarada inidônea; </w:t>
      </w:r>
    </w:p>
    <w:p w:rsidR="00000000" w:rsidDel="00000000" w:rsidP="00000000" w:rsidRDefault="00000000" w:rsidRPr="00000000" w14:paraId="0000000C">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V - cujo administrador seja sócio de empresa suspensa, impedida ou declarada inidônea;</w:t>
      </w:r>
    </w:p>
    <w:p w:rsidR="00000000" w:rsidDel="00000000" w:rsidP="00000000" w:rsidRDefault="00000000" w:rsidRPr="00000000" w14:paraId="0000000D">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VI – constituída por sócio que tenha sido sócio ou administrador de empresa suspensa, impedida ou declarada inidônea, no período dos fatos que deram ensejo à sanção; </w:t>
      </w:r>
    </w:p>
    <w:p w:rsidR="00000000" w:rsidDel="00000000" w:rsidP="00000000" w:rsidRDefault="00000000" w:rsidRPr="00000000" w14:paraId="0000000E">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VII - cujo administrador tenha sido sócio ou administrador de empresa suspensa, impedida ou declarada inidônea, no período dos fatos que deram ensejo à sanção; </w:t>
      </w:r>
    </w:p>
    <w:p w:rsidR="00000000" w:rsidDel="00000000" w:rsidP="00000000" w:rsidRDefault="00000000" w:rsidRPr="00000000" w14:paraId="0000000F">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VIII - que tiver, nos seus quadros de diretoria, pessoa que participou, em razão de vínculo de mesma natureza, de empresa declarada inidônea; </w:t>
      </w:r>
    </w:p>
    <w:p w:rsidR="00000000" w:rsidDel="00000000" w:rsidP="00000000" w:rsidRDefault="00000000" w:rsidRPr="00000000" w14:paraId="00000010">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IX - cujo administrador ou sócio detentor de mais de 5% (cinco por cento) do capital social seja integrante de órgão estatutário, empregado, servidor cedido ou em exercício na Ebserh; </w:t>
      </w:r>
    </w:p>
    <w:p w:rsidR="00000000" w:rsidDel="00000000" w:rsidP="00000000" w:rsidRDefault="00000000" w:rsidRPr="00000000" w14:paraId="00000011">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X - cujo administrador ou sócio detentor de mais de 5% (cinco por cento) do capital social seja integrante do Ministério da Educação ou de Instituições Federais de Ensino Superior e congêneres signatárias de contratos de gestão com a Ebserh. </w:t>
      </w:r>
    </w:p>
    <w:p w:rsidR="00000000" w:rsidDel="00000000" w:rsidP="00000000" w:rsidRDefault="00000000" w:rsidRPr="00000000" w14:paraId="00000012">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1º Aplica-se a vedação prevista no caput: </w:t>
      </w:r>
    </w:p>
    <w:p w:rsidR="00000000" w:rsidDel="00000000" w:rsidP="00000000" w:rsidRDefault="00000000" w:rsidRPr="00000000" w14:paraId="00000013">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 - à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rsidR="00000000" w:rsidDel="00000000" w:rsidP="00000000" w:rsidRDefault="00000000" w:rsidRPr="00000000" w14:paraId="00000014">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II - a quem tenha relação de parentesco, até o terceiro grau civil, com: </w:t>
      </w:r>
    </w:p>
    <w:p w:rsidR="00000000" w:rsidDel="00000000" w:rsidP="00000000" w:rsidRDefault="00000000" w:rsidRPr="00000000" w14:paraId="00000015">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a) integrantes de órgãos estatutários da Ebserh; </w:t>
      </w:r>
    </w:p>
    <w:p w:rsidR="00000000" w:rsidDel="00000000" w:rsidP="00000000" w:rsidRDefault="00000000" w:rsidRPr="00000000" w14:paraId="00000016">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b) empregado, servidor cedido ou em exercício na Ebserh cujas atribuições envolvam a atuação na área responsável pela licitação ou estejam envolvidos no respectivo processo de contratação; </w:t>
      </w:r>
    </w:p>
    <w:p w:rsidR="00000000" w:rsidDel="00000000" w:rsidP="00000000" w:rsidRDefault="00000000" w:rsidRPr="00000000" w14:paraId="00000017">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c) autoridade do Ministério da Educação; </w:t>
      </w:r>
    </w:p>
    <w:p w:rsidR="00000000" w:rsidDel="00000000" w:rsidP="00000000" w:rsidRDefault="00000000" w:rsidRPr="00000000" w14:paraId="00000018">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d) autoridade das Instituições Federais de Ensino Superior e congêneres signatárias de contratos de gestão com a Ebserh.</w:t>
      </w:r>
    </w:p>
    <w:p w:rsidR="00000000" w:rsidDel="00000000" w:rsidP="00000000" w:rsidRDefault="00000000" w:rsidRPr="00000000" w14:paraId="00000019">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III - cujo proprietário, mesmo na condição de sócio, tenha terminado seu prazo de gestão ou rompido seu vínculo com a Ebserh há menos de 6 (seis) meses. </w:t>
      </w:r>
    </w:p>
    <w:p w:rsidR="00000000" w:rsidDel="00000000" w:rsidP="00000000" w:rsidRDefault="00000000" w:rsidRPr="00000000" w14:paraId="0000001A">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rsidR="00000000" w:rsidDel="00000000" w:rsidP="00000000" w:rsidRDefault="00000000" w:rsidRPr="00000000" w14:paraId="0000001B">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rsidR="00000000" w:rsidDel="00000000" w:rsidP="00000000" w:rsidRDefault="00000000" w:rsidRPr="00000000" w14:paraId="0000001C">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4º O disposto nos §§ 2º e 3º deve ser observado quando da emissão de nota de empenho, formalização da contratação e pagamento.”</w:t>
      </w:r>
    </w:p>
    <w:p w:rsidR="00000000" w:rsidDel="00000000" w:rsidP="00000000" w:rsidRDefault="00000000" w:rsidRPr="00000000" w14:paraId="0000001D">
      <w:pPr>
        <w:spacing w:line="360" w:lineRule="auto"/>
        <w:ind w:firstLine="567"/>
        <w:jc w:val="both"/>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1E">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r>
      <w:r w:rsidDel="00000000" w:rsidR="00000000" w:rsidRPr="00000000">
        <w:rPr>
          <w:rFonts w:ascii="Calibri" w:cs="Calibri" w:eastAsia="Calibri" w:hAnsi="Calibri"/>
          <w:b w:val="1"/>
          <w:bCs w:val="1"/>
          <w:i w:val="1"/>
          <w:iCs w:val="1"/>
          <w:sz w:val="22"/>
          <w:szCs w:val="22"/>
          <w:rtl w:val="0"/>
        </w:rPr>
        <w:t xml:space="preserve">Art. 18</w:t>
      </w:r>
      <w:r w:rsidDel="00000000" w:rsidR="00000000" w:rsidRPr="00000000">
        <w:rPr>
          <w:rFonts w:ascii="Calibri" w:cs="Calibri" w:eastAsia="Calibri" w:hAnsi="Calibri"/>
          <w:i w:val="1"/>
          <w:iCs w:val="1"/>
          <w:sz w:val="22"/>
          <w:szCs w:val="22"/>
          <w:rtl w:val="0"/>
        </w:rPr>
        <w:t xml:space="preserve">. Não poderão ser destinados recursos para atender a despesas com:</w:t>
      </w:r>
    </w:p>
    <w:p w:rsidR="00000000" w:rsidDel="00000000" w:rsidP="00000000" w:rsidRDefault="00000000" w:rsidRPr="00000000" w14:paraId="0000001F">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r>
    </w:p>
    <w:p w:rsidR="00000000" w:rsidDel="00000000" w:rsidP="00000000" w:rsidRDefault="00000000" w:rsidRPr="00000000" w14:paraId="00000020">
      <w:pPr>
        <w:spacing w:line="360" w:lineRule="auto"/>
        <w:ind w:firstLine="567"/>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IX – pagamento de diárias e passagens a agente público da ativa por intermédio de convênios ou instrumentos congêneres firmados com entidades de direito privado ou órgãos ou entidades de direito público;”</w:t>
      </w:r>
    </w:p>
    <w:p w:rsidR="00000000" w:rsidDel="00000000" w:rsidP="00000000" w:rsidRDefault="00000000" w:rsidRPr="00000000" w14:paraId="00000021">
      <w:pPr>
        <w:spacing w:after="240" w:line="360" w:lineRule="auto"/>
        <w:ind w:firstLine="20"/>
        <w:jc w:val="both"/>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r>
      <w:r w:rsidDel="00000000" w:rsidR="00000000" w:rsidRPr="00000000">
        <w:rPr>
          <w:rFonts w:ascii="Calibri" w:cs="Calibri" w:eastAsia="Calibri" w:hAnsi="Calibri"/>
          <w:b w:val="1"/>
          <w:bCs w:val="1"/>
          <w:i w:val="1"/>
          <w:iCs w:val="1"/>
          <w:sz w:val="22"/>
          <w:szCs w:val="22"/>
          <w:rtl w:val="0"/>
        </w:rPr>
        <w:t xml:space="preserve">Art. 6º-A</w:t>
      </w:r>
      <w:r w:rsidDel="00000000" w:rsidR="00000000" w:rsidRPr="00000000">
        <w:rPr>
          <w:rFonts w:ascii="Calibri" w:cs="Calibri" w:eastAsia="Calibri" w:hAnsi="Calibri"/>
          <w:i w:val="1"/>
          <w:iCs w:val="1"/>
          <w:sz w:val="22"/>
          <w:szCs w:val="22"/>
          <w:rtl w:val="0"/>
        </w:rPr>
        <w:t xml:space="preserve">. A existência de registro no Cadin, quando da consulta prévia de que trata o art. 6º, constitui fator impeditivo para a realização de qualquer dos atos previstos nos incisos I, II e III do caput do art. 6º.  (Incluído pela Lei nº 14.973, de 2024)”.</w:t>
      </w:r>
    </w:p>
    <w:p w:rsidR="00000000" w:rsidDel="00000000" w:rsidP="00000000" w:rsidRDefault="00000000" w:rsidRPr="00000000" w14:paraId="00000022">
      <w:pPr>
        <w:spacing w:line="360" w:lineRule="auto"/>
        <w:ind w:firstLine="567"/>
        <w:jc w:val="both"/>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23">
      <w:pPr>
        <w:spacing w:line="36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line="36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_____________________, _____de __________________ de 202_</w:t>
      </w:r>
    </w:p>
    <w:p w:rsidR="00000000" w:rsidDel="00000000" w:rsidP="00000000" w:rsidRDefault="00000000" w:rsidRPr="00000000" w14:paraId="00000026">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(Local e data)</w:t>
      </w:r>
    </w:p>
    <w:p w:rsidR="00000000" w:rsidDel="00000000" w:rsidP="00000000" w:rsidRDefault="00000000" w:rsidRPr="00000000" w14:paraId="00000027">
      <w:pPr>
        <w:spacing w:line="36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8">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_____________________________________________</w:t>
      </w:r>
    </w:p>
    <w:p w:rsidR="00000000" w:rsidDel="00000000" w:rsidP="00000000" w:rsidRDefault="00000000" w:rsidRPr="00000000" w14:paraId="0000002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Assinatura e carimbo do emissor</w:t>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mc:AlternateContent>
        <mc:Choice Requires="wpg">
          <w:drawing>
            <wp:inline distB="0" distT="0" distL="0" distR="0">
              <wp:extent cx="2640645" cy="296545"/>
              <wp:effectExtent b="0" l="0" r="0" t="0"/>
              <wp:docPr id="3" name=""/>
              <a:graphic>
                <a:graphicData uri="http://schemas.microsoft.com/office/word/2010/wordprocessingGroup">
                  <wpg:wgp>
                    <wpg:cNvGrpSpPr/>
                    <wpg:grpSpPr>
                      <a:xfrm>
                        <a:off x="4025675" y="3631725"/>
                        <a:ext cx="2640645" cy="296545"/>
                        <a:chOff x="4025675" y="3631725"/>
                        <a:chExt cx="2640650" cy="296550"/>
                      </a:xfrm>
                    </wpg:grpSpPr>
                    <wpg:grpSp>
                      <wpg:cNvGrpSpPr/>
                      <wpg:grpSpPr>
                        <a:xfrm>
                          <a:off x="4025678" y="3631728"/>
                          <a:ext cx="2640645" cy="296545"/>
                          <a:chOff x="1" y="0"/>
                          <a:chExt cx="3837338" cy="376238"/>
                        </a:xfrm>
                      </wpg:grpSpPr>
                      <wps:wsp>
                        <wps:cNvSpPr/>
                        <wps:cNvPr id="3" name="Shape 3"/>
                        <wps:spPr>
                          <a:xfrm>
                            <a:off x="1" y="0"/>
                            <a:ext cx="3837325" cy="376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transparente azul01" id="4" name="Shape 4"/>
                          <pic:cNvPicPr preferRelativeResize="0"/>
                        </pic:nvPicPr>
                        <pic:blipFill rotWithShape="1">
                          <a:blip r:embed="rId1">
                            <a:alphaModFix/>
                          </a:blip>
                          <a:srcRect b="0" l="0" r="0" t="0"/>
                          <a:stretch/>
                        </pic:blipFill>
                        <pic:spPr>
                          <a:xfrm>
                            <a:off x="1" y="38100"/>
                            <a:ext cx="1885950" cy="285750"/>
                          </a:xfrm>
                          <a:prstGeom prst="rect">
                            <a:avLst/>
                          </a:prstGeom>
                          <a:noFill/>
                          <a:ln>
                            <a:noFill/>
                          </a:ln>
                        </pic:spPr>
                      </pic:pic>
                      <pic:pic>
                        <pic:nvPicPr>
                          <pic:cNvPr descr="LOGO H+U 2" id="5" name="Shape 5"/>
                          <pic:cNvPicPr preferRelativeResize="0"/>
                        </pic:nvPicPr>
                        <pic:blipFill rotWithShape="1">
                          <a:blip r:embed="rId2">
                            <a:alphaModFix/>
                          </a:blip>
                          <a:srcRect b="0" l="0" r="0" t="0"/>
                          <a:stretch/>
                        </pic:blipFill>
                        <pic:spPr>
                          <a:xfrm>
                            <a:off x="2025704" y="0"/>
                            <a:ext cx="371475" cy="361950"/>
                          </a:xfrm>
                          <a:prstGeom prst="rect">
                            <a:avLst/>
                          </a:prstGeom>
                          <a:noFill/>
                          <a:ln>
                            <a:noFill/>
                          </a:ln>
                        </pic:spPr>
                      </pic:pic>
                      <pic:pic>
                        <pic:nvPicPr>
                          <pic:cNvPr descr="Logo_da_EBSERH" id="6" name="Shape 6"/>
                          <pic:cNvPicPr preferRelativeResize="0"/>
                        </pic:nvPicPr>
                        <pic:blipFill rotWithShape="1">
                          <a:blip r:embed="rId3">
                            <a:alphaModFix/>
                          </a:blip>
                          <a:srcRect b="0" l="0" r="0" t="0"/>
                          <a:stretch/>
                        </pic:blipFill>
                        <pic:spPr>
                          <a:xfrm>
                            <a:off x="2532414" y="14288"/>
                            <a:ext cx="1304925" cy="361950"/>
                          </a:xfrm>
                          <a:prstGeom prst="rect">
                            <a:avLst/>
                          </a:prstGeom>
                          <a:noFill/>
                          <a:ln>
                            <a:noFill/>
                          </a:ln>
                        </pic:spPr>
                      </pic:pic>
                    </wpg:grpSp>
                  </wpg:wgp>
                </a:graphicData>
              </a:graphic>
            </wp:inline>
          </w:drawing>
        </mc:Choice>
        <mc:Fallback>
          <w:drawing>
            <wp:inline distB="0" distT="0" distL="0" distR="0">
              <wp:extent cx="2640645" cy="296545"/>
              <wp:effectExtent b="0" l="0" r="0" t="0"/>
              <wp:docPr id="3"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2640645" cy="29654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7f7f7f"/>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7f7f7f"/>
        <w:sz w:val="20"/>
        <w:szCs w:val="20"/>
        <w:u w:val="none"/>
        <w:shd w:fill="auto" w:val="clear"/>
        <w:vertAlign w:val="baseline"/>
        <w:rtl w:val="0"/>
      </w:rPr>
      <w:t xml:space="preserve">HOSPITAL DE CLÍNICAS DE UBERLÂNDIA</w:t>
      <w:br w:type="textWrapping"/>
      <w:t xml:space="preserve">Avenida Pará, nº 1720 - Bairro Umuarama</w:t>
      <w:br w:type="textWrapping"/>
      <w:t xml:space="preserve">Uberlândia/MG | CEP 38.405-320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jc w:val="center"/>
    </w:pPr>
    <w:rPr>
      <w:rFonts w:ascii="Arial" w:cs="Arial" w:eastAsia="Arial" w:hAnsi="Arial"/>
      <w:b w:val="1"/>
      <w:bCs w:val="1"/>
      <w:sz w:val="22"/>
      <w:szCs w:val="22"/>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6Char" w:customStyle="1">
    <w:name w:val="Título 6 Char"/>
    <w:basedOn w:val="Fontepargpadro"/>
    <w:link w:val="Ttulo6"/>
    <w:rsid w:val="00423B8A"/>
    <w:rPr>
      <w:rFonts w:ascii="Arial" w:cs="Times New Roman" w:eastAsia="Times New Roman" w:hAnsi="Arial"/>
      <w:b w:val="1"/>
      <w:szCs w:val="20"/>
      <w:lang w:eastAsia="ar-SA"/>
    </w:rPr>
  </w:style>
  <w:style w:type="paragraph" w:styleId="Corpodetexto">
    <w:name w:val="Body Text"/>
    <w:basedOn w:val="Normal"/>
    <w:link w:val="CorpodetextoChar"/>
    <w:rsid w:val="00423B8A"/>
    <w:rPr>
      <w:sz w:val="28"/>
      <w:szCs w:val="20"/>
    </w:rPr>
  </w:style>
  <w:style w:type="character" w:styleId="CorpodetextoChar" w:customStyle="1">
    <w:name w:val="Corpo de texto Char"/>
    <w:basedOn w:val="Fontepargpadro"/>
    <w:link w:val="Corpodetexto"/>
    <w:rsid w:val="00423B8A"/>
    <w:rPr>
      <w:rFonts w:ascii="Times New Roman" w:cs="Times New Roman" w:eastAsia="Times New Roman" w:hAnsi="Times New Roman"/>
      <w:sz w:val="28"/>
      <w:szCs w:val="20"/>
      <w:lang w:eastAsia="pt-BR"/>
    </w:rPr>
  </w:style>
  <w:style w:type="paragraph" w:styleId="Cabealho">
    <w:name w:val="header"/>
    <w:basedOn w:val="Normal"/>
    <w:link w:val="CabealhoChar"/>
    <w:uiPriority w:val="99"/>
    <w:unhideWhenUsed w:val="1"/>
    <w:rsid w:val="00FB003D"/>
    <w:pPr>
      <w:tabs>
        <w:tab w:val="center" w:pos="4252"/>
        <w:tab w:val="right" w:pos="8504"/>
      </w:tabs>
    </w:pPr>
  </w:style>
  <w:style w:type="character" w:styleId="CabealhoChar" w:customStyle="1">
    <w:name w:val="Cabeçalho Char"/>
    <w:basedOn w:val="Fontepargpadro"/>
    <w:link w:val="Cabealho"/>
    <w:uiPriority w:val="99"/>
    <w:rsid w:val="00FB003D"/>
    <w:rPr>
      <w:rFonts w:ascii="Times New Roman" w:cs="Times New Roman" w:eastAsia="Times New Roman" w:hAnsi="Times New Roman"/>
      <w:sz w:val="24"/>
      <w:szCs w:val="24"/>
      <w:lang w:eastAsia="pt-BR"/>
    </w:rPr>
  </w:style>
  <w:style w:type="paragraph" w:styleId="Rodap">
    <w:name w:val="footer"/>
    <w:basedOn w:val="Normal"/>
    <w:link w:val="RodapChar"/>
    <w:uiPriority w:val="99"/>
    <w:unhideWhenUsed w:val="1"/>
    <w:rsid w:val="00FB003D"/>
    <w:pPr>
      <w:tabs>
        <w:tab w:val="center" w:pos="4252"/>
        <w:tab w:val="right" w:pos="8504"/>
      </w:tabs>
    </w:pPr>
  </w:style>
  <w:style w:type="character" w:styleId="RodapChar" w:customStyle="1">
    <w:name w:val="Rodapé Char"/>
    <w:basedOn w:val="Fontepargpadro"/>
    <w:link w:val="Rodap"/>
    <w:uiPriority w:val="99"/>
    <w:rsid w:val="00FB003D"/>
    <w:rPr>
      <w:rFonts w:ascii="Times New Roman" w:cs="Times New Roman" w:eastAsia="Times New Roman" w:hAnsi="Times New Roman"/>
      <w:sz w:val="24"/>
      <w:szCs w:val="24"/>
      <w:lang w:eastAsia="pt-BR"/>
    </w:rPr>
  </w:style>
  <w:style w:type="paragraph" w:styleId="Textodebalo">
    <w:name w:val="Balloon Text"/>
    <w:basedOn w:val="Normal"/>
    <w:link w:val="TextodebaloChar"/>
    <w:uiPriority w:val="99"/>
    <w:semiHidden w:val="1"/>
    <w:unhideWhenUsed w:val="1"/>
    <w:rsid w:val="00FF7F1C"/>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FF7F1C"/>
    <w:rPr>
      <w:rFonts w:ascii="Segoe UI" w:cs="Segoe UI" w:eastAsia="Times New Roman" w:hAnsi="Segoe UI"/>
      <w:sz w:val="18"/>
      <w:szCs w:val="18"/>
      <w:lang w:eastAsia="pt-BR"/>
    </w:rPr>
  </w:style>
  <w:style w:type="table" w:styleId="Tabelacomgrade">
    <w:name w:val="Table Grid"/>
    <w:basedOn w:val="Tabelanormal"/>
    <w:uiPriority w:val="39"/>
    <w:rsid w:val="00EA447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2S9AdaTKWvB5Byk/UAAbXTlRtw==">CgMxLjA4AHIhMWlCYjNoOTZmMjRsN2JGendQek84Wm5hNmM3MXdIQ3R3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2024-12-11T13:10:00Z</dcterms:created>
  <dc:creator>Rodrigo Sousa Dittz</dc:creator>
</cp:coreProperties>
</file>